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17365D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17365D"/>
          <w:sz w:val="28"/>
          <w:szCs w:val="28"/>
        </w:rPr>
        <w:t xml:space="preserve">Ciudad Universitaria </w:t>
      </w:r>
      <w:r>
        <w:rPr>
          <w:rFonts w:ascii="Arial" w:eastAsia="Arial" w:hAnsi="Arial" w:cs="Arial"/>
          <w:b/>
          <w:color w:val="17365D"/>
          <w:sz w:val="28"/>
          <w:szCs w:val="28"/>
        </w:rPr>
        <w:br/>
        <w:t>Noviembre 5 de 2018</w:t>
      </w:r>
      <w:r>
        <w:rPr>
          <w:rFonts w:ascii="Arial" w:eastAsia="Arial" w:hAnsi="Arial" w:cs="Arial"/>
          <w:b/>
          <w:color w:val="17365D"/>
          <w:sz w:val="28"/>
          <w:szCs w:val="28"/>
        </w:rPr>
        <w:br/>
        <w:t>Bol</w:t>
      </w:r>
      <w:proofErr w:type="gramStart"/>
      <w:r>
        <w:rPr>
          <w:rFonts w:ascii="Arial" w:eastAsia="Arial" w:hAnsi="Arial" w:cs="Arial"/>
          <w:b/>
          <w:color w:val="17365D"/>
          <w:sz w:val="28"/>
          <w:szCs w:val="28"/>
        </w:rPr>
        <w:t>./</w:t>
      </w:r>
      <w:proofErr w:type="gramEnd"/>
      <w:r>
        <w:rPr>
          <w:rFonts w:ascii="Arial" w:eastAsia="Arial" w:hAnsi="Arial" w:cs="Arial"/>
          <w:b/>
          <w:color w:val="17365D"/>
          <w:sz w:val="28"/>
          <w:szCs w:val="28"/>
        </w:rPr>
        <w:t>734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FORTALECE Y MODERNIZA LA UNAM SU ESTRUCTURA ADMINISTRATIVA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C4918" w:rsidRDefault="00DB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Por acuerdo del rector Enrique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Graue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se crea la Secretaría de Prevención, Atención y Seguridad Universitaria</w:t>
      </w:r>
    </w:p>
    <w:p w:rsidR="00AC4918" w:rsidRDefault="00DB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Se enfatiza la importancia de la protección a los derechos humanos y la adecuada vigilancia del campus universitario</w:t>
      </w:r>
    </w:p>
    <w:p w:rsidR="00AC4918" w:rsidRDefault="00DB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Y de disponer de mayores elementos para el diseño, desarrollo e impulso de políticas universitarias en materia de prevención y atención de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riesgos, de servicios generales, movilidad y transporte, así como a la atención del esparcimiento y la salud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fin de fortalecer la coordinación y calidad en la gestión institucional y el impacto de sus funciones sustantivas en los ámbitos escolar, académico y administrativo, así como para desarrollar e impulsar políticas universitarias en materia de prevención 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atención de riesgos, el rector Enrique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Graue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Wiechers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emitió un acuerdo para reorganizar la estructura de la Universidad Nacional Autónoma de México (UNAM).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 documento, en donde se explican y especifican los motivos y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objetivos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de los cambios, y que es acompañado de otros tres acuerdos rectorales, fue publicado hoy en la Gaceta de esta casa de estudios, y establece dentro de otros puntos que: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Los programas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estratégicos en que se sustenta la visión de la Universidad sean traducidos en acciones concretas como la protección a los derechos humanos de todas las personas que integran la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comunidad universitaria, la adecuada vigilancia del campus universitario, la 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ptimización de los recursos y la correcta planeación con el objeto de propiciar las mejores herramientas que coadyuven al logro de los fines sustantivos de la Universidad.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Resalta la pertinente de crear la Secretaría de Prevención, Atención y Seguridad U</w:t>
      </w:r>
      <w:r>
        <w:rPr>
          <w:rFonts w:ascii="Arial" w:eastAsia="Arial" w:hAnsi="Arial" w:cs="Arial"/>
          <w:color w:val="000000"/>
          <w:sz w:val="28"/>
          <w:szCs w:val="28"/>
        </w:rPr>
        <w:t>niversitaria en sustitución de la Secretaría de Atención a la Comunidad Universitaria, con el objeto de disponer de mayores elementos para el diseño, desarrollo e impulso de políticas universitarias en materia de prevención y atención de riesgos, de servic</w:t>
      </w:r>
      <w:r>
        <w:rPr>
          <w:rFonts w:ascii="Arial" w:eastAsia="Arial" w:hAnsi="Arial" w:cs="Arial"/>
          <w:color w:val="000000"/>
          <w:sz w:val="28"/>
          <w:szCs w:val="28"/>
        </w:rPr>
        <w:t>ios generales, movilidad y transporte, así como a la atención del esparcimiento y la salud.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Las secretarías General y de Desarrollo Institucional se reorganizan en sus funciones y estructuras administrativas. La Oficina del Abogado General cambia su denom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inación a Oficina de la Abogacía General.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Las funciones de la extinta Secretaría de Atención a la Comunidad Universitaria se transfieren a las secretarías General, de Desarrollo Institucional, y de Prevención, Atención y Seguridad Universitaria.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Dir</w:t>
      </w:r>
      <w:r>
        <w:rPr>
          <w:rFonts w:ascii="Arial" w:eastAsia="Arial" w:hAnsi="Arial" w:cs="Arial"/>
          <w:color w:val="000000"/>
          <w:sz w:val="28"/>
          <w:szCs w:val="28"/>
        </w:rPr>
        <w:t>ección General de Orientación y Atención Educativa y el Programa de Vinculación con los Egresados de la UNAM se transfieren a la Secretaría General. La Dirección General del Deporte Universitario se transfiere a la Secretaría de Desarrollo Institucional.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Desaparece la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Coordinación de Vinculación Institucional y se crea la Coordinación Universitaria para la Sustentabilidad, adscrita a la Secretaría de Desarrollo Institucional.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También se elimina la Coordinación de Colecciones Universitarias Digitales y se crea la Dirección General de Repositorios Universitarios, adscrita a la Secretaría de Desarrollo Institucional.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Las direcciones generales de Atención a la Comunidad, de Atenci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ón a la Salud, de Prevención y Protección Civil, y de Servicios Generales y Movilidad se transfieren a la Secretaría de Prevención, Atención y Seguridad Universitaria.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Desaparece la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Dirección General de Prevención y Protección Civil y se crea la Direcció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General de Análisis, Protección y Seguridad 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La Secretaría General contará con las coordinaciones de Desarrollo Educativo e Innovación Curricular; y de Vinculación con el Consejo Universitario; General de Estudios de Posgrado, así como con las direccion</w:t>
      </w:r>
      <w:r>
        <w:rPr>
          <w:rFonts w:ascii="Arial" w:eastAsia="Arial" w:hAnsi="Arial" w:cs="Arial"/>
          <w:color w:val="000000"/>
          <w:sz w:val="28"/>
          <w:szCs w:val="28"/>
        </w:rPr>
        <w:t>es generales de Administración Escolar; de Asuntos del Personal Académico; de Bibliotecas; de Incorporación y Revalidación de Estudios; de Orientación y Atención Educativa. Además del Programa de Vinculación con los Egresados de la UNAM.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 tanto que la S</w:t>
      </w:r>
      <w:r>
        <w:rPr>
          <w:rFonts w:ascii="Arial" w:eastAsia="Arial" w:hAnsi="Arial" w:cs="Arial"/>
          <w:color w:val="000000"/>
          <w:sz w:val="28"/>
          <w:szCs w:val="28"/>
        </w:rPr>
        <w:t>ecretaría de Desarrollo Institucional se integrará por las coordinaciones de Relaciones y Asuntos Internacionales; de Universidad Abierta y Educación a Distancia; y Universitaria para la Sustentabilidad. También contará con las direcciones generales de Cóm</w:t>
      </w:r>
      <w:r>
        <w:rPr>
          <w:rFonts w:ascii="Arial" w:eastAsia="Arial" w:hAnsi="Arial" w:cs="Arial"/>
          <w:color w:val="000000"/>
          <w:sz w:val="28"/>
          <w:szCs w:val="28"/>
        </w:rPr>
        <w:t>puto y de Tecnologías de Información y Comunicación; del Deporte Universitario; de Evaluación Institucional; de Planeación; y de Repositorios Universitarios.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Por lo que respecta a la Secretaría de Prevención, Atención y Seguridad Universitaria, tendrá las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coordinaciones Académica de Capacitación, Valores y Entornos Universitarios; y la de Enlace y Seguimiento. Para el cumplimiento de sus tareas se apoyará en las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direcciones generales de Análisis, Protección y Seguridad Universitaria; de Atención a la Comun</w:t>
      </w:r>
      <w:r>
        <w:rPr>
          <w:rFonts w:ascii="Arial" w:eastAsia="Arial" w:hAnsi="Arial" w:cs="Arial"/>
          <w:color w:val="000000"/>
          <w:sz w:val="28"/>
          <w:szCs w:val="28"/>
        </w:rPr>
        <w:t>idad; de Atención a la Salud; y de Servicios Generales y Movilidad.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El acuerdo general precisa que los asuntos que requieran interpretación normativa serán resueltos por la persona titular de la Oficina de la Abogacía General.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reestructuración se efec</w:t>
      </w:r>
      <w:r>
        <w:rPr>
          <w:rFonts w:ascii="Arial" w:eastAsia="Arial" w:hAnsi="Arial" w:cs="Arial"/>
          <w:color w:val="000000"/>
          <w:sz w:val="28"/>
          <w:szCs w:val="28"/>
        </w:rPr>
        <w:t>túa para consolidar la presencia de la UNAM a nivel nacional e internacional y para garantizar su calidad institucional, a través de procesos sistemáticos de planeación y evaluación.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4918" w:rsidRDefault="00DB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-o0o-</w:t>
      </w: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3"/>
        <w:tblW w:w="89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45"/>
        <w:gridCol w:w="2633"/>
      </w:tblGrid>
      <w:tr w:rsidR="00AC4918">
        <w:tc>
          <w:tcPr>
            <w:tcW w:w="6345" w:type="dxa"/>
          </w:tcPr>
          <w:p w:rsidR="00AC4918" w:rsidRDefault="00DB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Conoce más de la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Universidad Nacional,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visita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b/>
                  <w:i/>
                  <w:color w:val="0000FF"/>
                  <w:sz w:val="28"/>
                  <w:szCs w:val="28"/>
                  <w:u w:val="single"/>
                </w:rPr>
                <w:t>www.dgcs.unam.mx</w:t>
              </w:r>
            </w:hyperlink>
          </w:p>
          <w:p w:rsidR="00AC4918" w:rsidRDefault="00DB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b/>
                  <w:i/>
                  <w:color w:val="0000FF"/>
                  <w:sz w:val="28"/>
                  <w:szCs w:val="28"/>
                  <w:u w:val="single"/>
                </w:rPr>
                <w:t>www.unamglobal.unam.mx</w:t>
              </w:r>
            </w:hyperlink>
          </w:p>
          <w:p w:rsidR="00AC4918" w:rsidRDefault="00AC49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C4918" w:rsidRDefault="00DB1261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 sigue en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Twitter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a: </w:t>
            </w:r>
            <w:hyperlink r:id="rId9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</w:hyperlink>
            <w:hyperlink r:id="rId10">
              <w:r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single"/>
                </w:rPr>
                <w:t>SalaPrensaUNAM</w:t>
              </w:r>
              <w:proofErr w:type="spellEnd"/>
            </w:hyperlink>
          </w:p>
          <w:p w:rsidR="00AC4918" w:rsidRDefault="00AC4918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4918" w:rsidRDefault="00DB1261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96060" cy="125857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58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918" w:rsidRDefault="00AC4918">
      <w:pPr>
        <w:rPr>
          <w:rFonts w:ascii="Arial" w:eastAsia="Arial" w:hAnsi="Arial" w:cs="Arial"/>
          <w:sz w:val="28"/>
          <w:szCs w:val="28"/>
        </w:rPr>
      </w:pPr>
    </w:p>
    <w:p w:rsidR="00AC4918" w:rsidRDefault="00AC4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sectPr w:rsidR="00AC4918">
      <w:headerReference w:type="default" r:id="rId12"/>
      <w:footerReference w:type="default" r:id="rId13"/>
      <w:pgSz w:w="12240" w:h="15840"/>
      <w:pgMar w:top="1418" w:right="1701" w:bottom="284" w:left="1701" w:header="19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61" w:rsidRDefault="00DB1261">
      <w:pPr>
        <w:spacing w:after="0" w:line="240" w:lineRule="auto"/>
      </w:pPr>
      <w:r>
        <w:separator/>
      </w:r>
    </w:p>
  </w:endnote>
  <w:endnote w:type="continuationSeparator" w:id="0">
    <w:p w:rsidR="00DB1261" w:rsidRDefault="00DB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8" w:rsidRDefault="00AC491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19320" w:type="dxa"/>
      <w:tblInd w:w="0" w:type="dxa"/>
      <w:tblLayout w:type="fixed"/>
      <w:tblLook w:val="0400" w:firstRow="0" w:lastRow="0" w:firstColumn="0" w:lastColumn="0" w:noHBand="0" w:noVBand="1"/>
    </w:tblPr>
    <w:tblGrid>
      <w:gridCol w:w="9660"/>
      <w:gridCol w:w="9660"/>
    </w:tblGrid>
    <w:tr w:rsidR="00AC4918">
      <w:trPr>
        <w:trHeight w:val="680"/>
      </w:trPr>
      <w:tc>
        <w:tcPr>
          <w:tcW w:w="9660" w:type="dxa"/>
          <w:shd w:val="clear" w:color="auto" w:fill="auto"/>
        </w:tcPr>
        <w:p w:rsidR="00AC4918" w:rsidRDefault="00AC49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  <w:tbl>
          <w:tblPr>
            <w:tblStyle w:val="a5"/>
            <w:tblW w:w="9444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7088"/>
            <w:gridCol w:w="2356"/>
          </w:tblGrid>
          <w:tr w:rsidR="00AC4918">
            <w:trPr>
              <w:trHeight w:val="680"/>
            </w:trPr>
            <w:tc>
              <w:tcPr>
                <w:tcW w:w="7088" w:type="dxa"/>
                <w:shd w:val="clear" w:color="auto" w:fill="auto"/>
              </w:tcPr>
              <w:p w:rsidR="00AC4918" w:rsidRDefault="00DB1261">
                <w:pPr>
                  <w:spacing w:after="0" w:line="240" w:lineRule="auto"/>
                  <w:rPr>
                    <w:rFonts w:ascii="Arial" w:eastAsia="Arial" w:hAnsi="Arial" w:cs="Arial"/>
                    <w:color w:val="17365D"/>
                  </w:rPr>
                </w:pPr>
                <w:r>
                  <w:rPr>
                    <w:rFonts w:ascii="Arial" w:eastAsia="Arial" w:hAnsi="Arial" w:cs="Arial"/>
                    <w:color w:val="17365D"/>
                  </w:rPr>
                  <w:t>Boletín: http://www.dgcs.unam.mx/boletin/bdboletin/2018_734.html</w:t>
                </w:r>
                <w:r>
                  <w:rPr>
                    <w:rFonts w:ascii="Arial" w:eastAsia="Arial" w:hAnsi="Arial" w:cs="Arial"/>
                    <w:color w:val="17365D"/>
                  </w:rPr>
                  <w:br/>
                  <w:t>Boletines: http://www.dgcs.unam.mx/boletin/bdboletin/basebol.html</w:t>
                </w:r>
              </w:p>
              <w:p w:rsidR="00AC4918" w:rsidRDefault="00DB1261">
                <w:pPr>
                  <w:spacing w:after="0" w:line="240" w:lineRule="auto"/>
                  <w:rPr>
                    <w:rFonts w:ascii="Arial" w:eastAsia="Arial" w:hAnsi="Arial" w:cs="Arial"/>
                    <w:color w:val="17365D"/>
                  </w:rPr>
                </w:pPr>
                <w:r>
                  <w:rPr>
                    <w:rFonts w:ascii="Arial" w:eastAsia="Arial" w:hAnsi="Arial" w:cs="Arial"/>
                    <w:color w:val="17365D"/>
                  </w:rPr>
                  <w:t>RSS: http://www.dgcs.unam.mx/rss/boletines.rss</w:t>
                </w:r>
                <w:r>
                  <w:rPr>
                    <w:rFonts w:ascii="Arial" w:eastAsia="Arial" w:hAnsi="Arial" w:cs="Arial"/>
                    <w:color w:val="17365D"/>
                  </w:rPr>
                  <w:br/>
                </w:r>
              </w:p>
              <w:p w:rsidR="00AC4918" w:rsidRDefault="00AC4918">
                <w:pPr>
                  <w:spacing w:after="0" w:line="240" w:lineRule="auto"/>
                  <w:rPr>
                    <w:rFonts w:ascii="Arial" w:eastAsia="Arial" w:hAnsi="Arial" w:cs="Arial"/>
                    <w:color w:val="17365D"/>
                  </w:rPr>
                </w:pPr>
              </w:p>
              <w:p w:rsidR="00AC4918" w:rsidRDefault="00AC491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17365D"/>
                  </w:rPr>
                </w:pPr>
              </w:p>
            </w:tc>
            <w:tc>
              <w:tcPr>
                <w:tcW w:w="2356" w:type="dxa"/>
                <w:shd w:val="clear" w:color="auto" w:fill="auto"/>
              </w:tcPr>
              <w:p w:rsidR="00AC4918" w:rsidRDefault="00DB1261">
                <w:pPr>
                  <w:tabs>
                    <w:tab w:val="left" w:pos="537"/>
                  </w:tabs>
                  <w:rPr>
                    <w:rFonts w:ascii="Arial" w:eastAsia="Arial" w:hAnsi="Arial" w:cs="Arial"/>
                  </w:rPr>
                </w:pPr>
                <w:r>
                  <w:t xml:space="preserve">. </w:t>
                </w:r>
                <w:r>
                  <w:rPr>
                    <w:noProof/>
                  </w:rPr>
                  <w:drawing>
                    <wp:inline distT="0" distB="0" distL="0" distR="0">
                      <wp:extent cx="807720" cy="807720"/>
                      <wp:effectExtent l="0" t="0" r="0" b="0"/>
                      <wp:docPr id="10" name="image3.png" descr="ef24ff8b768c0471ab0d0bca029eaa8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ef24ff8b768c0471ab0d0bca029eaa85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7720" cy="8077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Arial" w:hAnsi="Arial" w:cs="Arial"/>
                  </w:rPr>
                  <w:tab/>
                </w:r>
              </w:p>
            </w:tc>
          </w:tr>
        </w:tbl>
        <w:p w:rsidR="00AC4918" w:rsidRDefault="00AC4918"/>
      </w:tc>
      <w:tc>
        <w:tcPr>
          <w:tcW w:w="9660" w:type="dxa"/>
          <w:shd w:val="clear" w:color="auto" w:fill="auto"/>
        </w:tcPr>
        <w:p w:rsidR="00AC4918" w:rsidRDefault="00AC49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6"/>
            <w:tblW w:w="9444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7497"/>
            <w:gridCol w:w="1947"/>
          </w:tblGrid>
          <w:tr w:rsidR="00AC4918">
            <w:trPr>
              <w:trHeight w:val="680"/>
            </w:trPr>
            <w:tc>
              <w:tcPr>
                <w:tcW w:w="7497" w:type="dxa"/>
                <w:shd w:val="clear" w:color="auto" w:fill="auto"/>
              </w:tcPr>
              <w:p w:rsidR="00AC4918" w:rsidRDefault="00AC491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Helvetica Neue" w:eastAsia="Helvetica Neue" w:hAnsi="Helvetica Neue" w:cs="Helvetica Neue"/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947" w:type="dxa"/>
                <w:shd w:val="clear" w:color="auto" w:fill="auto"/>
              </w:tcPr>
              <w:p w:rsidR="00AC4918" w:rsidRDefault="00AC4918"/>
            </w:tc>
          </w:tr>
        </w:tbl>
        <w:p w:rsidR="00AC4918" w:rsidRDefault="00AC4918"/>
      </w:tc>
    </w:tr>
  </w:tbl>
  <w:p w:rsidR="00AC4918" w:rsidRDefault="00AC4918">
    <w:pPr>
      <w:spacing w:after="0" w:line="240" w:lineRule="auto"/>
      <w:rPr>
        <w:rFonts w:ascii="Arial" w:eastAsia="Arial" w:hAnsi="Arial" w:cs="Arial"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61" w:rsidRDefault="00DB1261">
      <w:pPr>
        <w:spacing w:after="0" w:line="240" w:lineRule="auto"/>
      </w:pPr>
      <w:r>
        <w:separator/>
      </w:r>
    </w:p>
  </w:footnote>
  <w:footnote w:type="continuationSeparator" w:id="0">
    <w:p w:rsidR="00DB1261" w:rsidRDefault="00DB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8" w:rsidRDefault="00DB12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-365122</wp:posOffset>
          </wp:positionH>
          <wp:positionV relativeFrom="paragraph">
            <wp:posOffset>-1019173</wp:posOffset>
          </wp:positionV>
          <wp:extent cx="6351905" cy="927735"/>
          <wp:effectExtent l="0" t="0" r="0" b="0"/>
          <wp:wrapSquare wrapText="bothSides" distT="0" distB="0" distL="114300" distR="114300"/>
          <wp:docPr id="8" name="image1.png" descr="C:\Users\Luist\Desktop\banner\00cabeza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uist\Desktop\banner\00cabeza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190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9264D"/>
    <w:multiLevelType w:val="multilevel"/>
    <w:tmpl w:val="0DDE6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8"/>
    <w:rsid w:val="00560FE8"/>
    <w:rsid w:val="00AC4918"/>
    <w:rsid w:val="00D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02A4-4E67-425B-8B5C-994EF76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581"/>
  </w:style>
  <w:style w:type="paragraph" w:styleId="Piedepgina">
    <w:name w:val="footer"/>
    <w:basedOn w:val="Normal"/>
    <w:link w:val="PiedepginaCar"/>
    <w:uiPriority w:val="99"/>
    <w:unhideWhenUsed/>
    <w:rsid w:val="00E9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81"/>
  </w:style>
  <w:style w:type="paragraph" w:styleId="Textodeglobo">
    <w:name w:val="Balloon Text"/>
    <w:basedOn w:val="Normal"/>
    <w:link w:val="TextodegloboCar"/>
    <w:uiPriority w:val="99"/>
    <w:semiHidden/>
    <w:unhideWhenUsed/>
    <w:rsid w:val="004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7145"/>
    <w:rPr>
      <w:rFonts w:ascii="Tahoma" w:hAnsi="Tahoma" w:cs="Tahoma"/>
      <w:sz w:val="16"/>
      <w:szCs w:val="16"/>
    </w:rPr>
  </w:style>
  <w:style w:type="paragraph" w:customStyle="1" w:styleId="Body1">
    <w:name w:val="Body 1"/>
    <w:rsid w:val="00404DB1"/>
    <w:rPr>
      <w:rFonts w:ascii="Helvetica" w:eastAsia="Arial Unicode MS" w:hAnsi="Helvetica"/>
      <w:color w:val="000000"/>
      <w:sz w:val="24"/>
    </w:rPr>
  </w:style>
  <w:style w:type="character" w:styleId="Hipervnculo">
    <w:name w:val="Hyperlink"/>
    <w:uiPriority w:val="99"/>
    <w:unhideWhenUsed/>
    <w:rsid w:val="00903B00"/>
    <w:rPr>
      <w:color w:val="0000FF"/>
      <w:u w:val="single"/>
    </w:rPr>
  </w:style>
  <w:style w:type="character" w:styleId="nfasis">
    <w:name w:val="Emphasis"/>
    <w:uiPriority w:val="20"/>
    <w:qFormat/>
    <w:rsid w:val="00CB66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6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CB66C6"/>
    <w:rPr>
      <w:b/>
      <w:bCs/>
    </w:rPr>
  </w:style>
  <w:style w:type="paragraph" w:styleId="Sinespaciado">
    <w:name w:val="No Spacing"/>
    <w:uiPriority w:val="1"/>
    <w:qFormat/>
    <w:rsid w:val="00BC669A"/>
  </w:style>
  <w:style w:type="table" w:styleId="Tablaconcuadrcula">
    <w:name w:val="Table Grid"/>
    <w:basedOn w:val="Tablanormal"/>
    <w:uiPriority w:val="59"/>
    <w:rsid w:val="00BC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17"/>
    <w:pPr>
      <w:ind w:left="720"/>
      <w:contextualSpacing/>
    </w:pPr>
    <w:rPr>
      <w:rFonts w:ascii="Times New Roman" w:hAnsi="Times New Roman"/>
      <w:sz w:val="24"/>
      <w:szCs w:val="24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mglobal.unam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gcs.unam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SalaPrensaUNAM?original_referer=http%3A/www.dgcs.unam.mx/&amp;profile_id=2434557408&amp;tw_i=602917707252531200&amp;tw_p=embeddedtimeline&amp;tw_w=47975993230925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alaPrensaUNAM?original_referer=http%3A/www.dgcs.unam.mx/&amp;profile_id=2434557408&amp;tw_i=602917707252531200&amp;tw_p=embeddedtimeline&amp;tw_w=4797599323092541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CSC1</cp:lastModifiedBy>
  <cp:revision>2</cp:revision>
  <dcterms:created xsi:type="dcterms:W3CDTF">2018-11-06T17:17:00Z</dcterms:created>
  <dcterms:modified xsi:type="dcterms:W3CDTF">2018-11-06T17:17:00Z</dcterms:modified>
</cp:coreProperties>
</file>